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3CE60" w14:textId="31BF0DB3" w:rsidR="009F344C" w:rsidRPr="009F344C" w:rsidRDefault="009F344C" w:rsidP="009F344C">
      <w:pPr>
        <w:rPr>
          <w:rFonts w:ascii="Times New Roman" w:hAnsi="Times New Roman" w:cs="Times New Roman"/>
          <w:sz w:val="28"/>
          <w:szCs w:val="28"/>
        </w:rPr>
      </w:pPr>
      <w:r w:rsidRPr="009F344C">
        <w:rPr>
          <w:rFonts w:ascii="Times New Roman" w:hAnsi="Times New Roman" w:cs="Times New Roman"/>
          <w:sz w:val="28"/>
          <w:szCs w:val="28"/>
        </w:rPr>
        <w:t>Trabajo final- Modulo V</w:t>
      </w:r>
    </w:p>
    <w:p w14:paraId="563EBBC8" w14:textId="1C3FA684" w:rsidR="009F344C" w:rsidRPr="009F344C" w:rsidRDefault="009F344C" w:rsidP="009F344C">
      <w:pPr>
        <w:rPr>
          <w:rFonts w:ascii="Times New Roman" w:hAnsi="Times New Roman" w:cs="Times New Roman"/>
          <w:sz w:val="28"/>
          <w:szCs w:val="28"/>
        </w:rPr>
      </w:pPr>
      <w:r w:rsidRPr="009F344C">
        <w:rPr>
          <w:rFonts w:ascii="Times New Roman" w:hAnsi="Times New Roman" w:cs="Times New Roman"/>
          <w:sz w:val="28"/>
          <w:szCs w:val="28"/>
        </w:rPr>
        <w:t xml:space="preserve">Escuelero: Marlon Alexander Serpas Tobar/ El Salvador </w:t>
      </w:r>
    </w:p>
    <w:p w14:paraId="3EADD39A" w14:textId="61C0811D" w:rsidR="009F344C" w:rsidRPr="009F344C" w:rsidRDefault="009F344C" w:rsidP="009F344C">
      <w:pPr>
        <w:rPr>
          <w:rFonts w:ascii="Times New Roman" w:hAnsi="Times New Roman" w:cs="Times New Roman"/>
          <w:sz w:val="28"/>
          <w:szCs w:val="28"/>
        </w:rPr>
      </w:pPr>
      <w:r w:rsidRPr="009F344C">
        <w:rPr>
          <w:rFonts w:ascii="Times New Roman" w:hAnsi="Times New Roman" w:cs="Times New Roman"/>
          <w:sz w:val="28"/>
          <w:szCs w:val="28"/>
        </w:rPr>
        <w:t xml:space="preserve">Educadora: Ana Belén </w:t>
      </w:r>
    </w:p>
    <w:p w14:paraId="31260FFA" w14:textId="77777777" w:rsidR="009F344C" w:rsidRPr="009F344C" w:rsidRDefault="009F344C" w:rsidP="009F344C">
      <w:pPr>
        <w:rPr>
          <w:rFonts w:ascii="Times New Roman" w:hAnsi="Times New Roman" w:cs="Times New Roman"/>
        </w:rPr>
      </w:pPr>
    </w:p>
    <w:p w14:paraId="4FEC9F1C" w14:textId="12DA280A" w:rsidR="009F344C" w:rsidRPr="009F344C" w:rsidRDefault="009F344C" w:rsidP="009F344C">
      <w:pPr>
        <w:rPr>
          <w:rFonts w:ascii="Times New Roman" w:hAnsi="Times New Roman" w:cs="Times New Roman"/>
        </w:rPr>
      </w:pPr>
      <w:r w:rsidRPr="009F344C">
        <w:rPr>
          <w:rFonts w:ascii="Times New Roman" w:hAnsi="Times New Roman" w:cs="Times New Roman"/>
        </w:rPr>
        <w:t>1. ¿Cuáles son las principales líneas teológicas del libro Hechos de los Apóstoles? Justifica.</w:t>
      </w:r>
    </w:p>
    <w:p w14:paraId="11EAF48A" w14:textId="77777777" w:rsidR="009F344C" w:rsidRPr="009F344C" w:rsidRDefault="009F344C" w:rsidP="009F344C">
      <w:pPr>
        <w:spacing w:line="240" w:lineRule="auto"/>
        <w:rPr>
          <w:rFonts w:ascii="Times New Roman" w:eastAsia="Times New Roman" w:hAnsi="Times New Roman" w:cs="Times New Roman"/>
          <w:b/>
          <w:bCs/>
          <w:lang w:eastAsia="es-SV"/>
        </w:rPr>
      </w:pPr>
      <w:r w:rsidRPr="009F344C">
        <w:rPr>
          <w:rFonts w:ascii="Times New Roman" w:eastAsia="Times New Roman" w:hAnsi="Times New Roman" w:cs="Times New Roman"/>
          <w:b/>
          <w:bCs/>
          <w:lang w:eastAsia="es-SV"/>
        </w:rPr>
        <w:t>1. El protagonismo absoluto del Espíritu Santo</w:t>
      </w:r>
    </w:p>
    <w:p w14:paraId="7DB404DB" w14:textId="77777777" w:rsidR="009F344C" w:rsidRPr="009F344C" w:rsidRDefault="009F344C" w:rsidP="009F344C">
      <w:pPr>
        <w:spacing w:line="240" w:lineRule="auto"/>
        <w:rPr>
          <w:rFonts w:ascii="Times New Roman" w:eastAsia="Times New Roman" w:hAnsi="Times New Roman" w:cs="Times New Roman"/>
          <w:lang w:eastAsia="es-SV"/>
        </w:rPr>
      </w:pPr>
      <w:r w:rsidRPr="009F344C">
        <w:rPr>
          <w:rFonts w:ascii="Times New Roman" w:eastAsia="Times New Roman" w:hAnsi="Times New Roman" w:cs="Times New Roman"/>
          <w:lang w:eastAsia="es-SV"/>
        </w:rPr>
        <w:t>El Espíritu Santo es presentado por Lucas como el motor dinámico, la fuerza y el verdadero estratega detrás de cada avance de la Iglesia primitiva. Lejos de ser una influencia pasiva, el Espíritu irrumpe con poder en Pentecostés, otorga valentía (</w:t>
      </w:r>
      <w:proofErr w:type="spellStart"/>
      <w:r w:rsidRPr="009F344C">
        <w:rPr>
          <w:rFonts w:ascii="Times New Roman" w:eastAsia="Times New Roman" w:hAnsi="Times New Roman" w:cs="Times New Roman"/>
          <w:i/>
          <w:iCs/>
          <w:lang w:eastAsia="es-SV"/>
        </w:rPr>
        <w:t>parresía</w:t>
      </w:r>
      <w:proofErr w:type="spellEnd"/>
      <w:r w:rsidRPr="009F344C">
        <w:rPr>
          <w:rFonts w:ascii="Times New Roman" w:eastAsia="Times New Roman" w:hAnsi="Times New Roman" w:cs="Times New Roman"/>
          <w:lang w:eastAsia="es-SV"/>
        </w:rPr>
        <w:t>) a los apóstoles ante la persecución y actúa de forma soberana dictando hacia dónde deben dirigirse los misioneros o bloqueando rutas según el plan divino. Su presencia no solo capacita con carismas variados a los creyentes, sino que es la autoridad que derriba los prejuicios humanos, obligando a los líderes de la comunidad a expandir las fronteras del anuncio evangélico.</w:t>
      </w:r>
    </w:p>
    <w:p w14:paraId="7E2B44A2" w14:textId="77777777" w:rsidR="009F344C" w:rsidRPr="009F344C" w:rsidRDefault="009F344C" w:rsidP="009F344C">
      <w:pPr>
        <w:spacing w:line="240" w:lineRule="auto"/>
        <w:rPr>
          <w:rFonts w:ascii="Times New Roman" w:eastAsia="Times New Roman" w:hAnsi="Times New Roman" w:cs="Times New Roman"/>
          <w:b/>
          <w:bCs/>
          <w:lang w:eastAsia="es-SV"/>
        </w:rPr>
      </w:pPr>
      <w:r w:rsidRPr="009F344C">
        <w:rPr>
          <w:rFonts w:ascii="Times New Roman" w:eastAsia="Times New Roman" w:hAnsi="Times New Roman" w:cs="Times New Roman"/>
          <w:b/>
          <w:bCs/>
          <w:lang w:eastAsia="es-SV"/>
        </w:rPr>
        <w:t>2. La continuidad de la Historia de la Salvación</w:t>
      </w:r>
    </w:p>
    <w:p w14:paraId="5CF4FD73" w14:textId="77777777" w:rsidR="009F344C" w:rsidRPr="009F344C" w:rsidRDefault="009F344C" w:rsidP="009F344C">
      <w:pPr>
        <w:spacing w:line="240" w:lineRule="auto"/>
        <w:rPr>
          <w:rFonts w:ascii="Times New Roman" w:eastAsia="Times New Roman" w:hAnsi="Times New Roman" w:cs="Times New Roman"/>
          <w:lang w:eastAsia="es-SV"/>
        </w:rPr>
      </w:pPr>
      <w:r w:rsidRPr="009F344C">
        <w:rPr>
          <w:rFonts w:ascii="Times New Roman" w:eastAsia="Times New Roman" w:hAnsi="Times New Roman" w:cs="Times New Roman"/>
          <w:lang w:eastAsia="es-SV"/>
        </w:rPr>
        <w:t>Para el autor, el surgimiento del cristianismo no representa una ruptura caótica con las tradiciones de Israel, sino la culminación perfecta y el cumplimiento de las promesas de Dios descritas en el Antiguo Testamento. Lucas utiliza los discursos de figuras como Pedro y Esteban para argumentar que la vida, muerte y resurrección de Jesús corresponden fielmente al diseño histórico profetizado por los sabios del pasado. Así, la Iglesia naciente se entiende a sí misma como el "Nuevo Israel" en el cual las promesas de bendición se extienden de manera ininterrumpida y orgánica desde Jerusalén hasta los confines de la tierra habitada.</w:t>
      </w:r>
    </w:p>
    <w:p w14:paraId="3DAC15B2" w14:textId="77777777" w:rsidR="009F344C" w:rsidRPr="009F344C" w:rsidRDefault="009F344C" w:rsidP="009F344C">
      <w:pPr>
        <w:spacing w:line="240" w:lineRule="auto"/>
        <w:rPr>
          <w:rFonts w:ascii="Times New Roman" w:eastAsia="Times New Roman" w:hAnsi="Times New Roman" w:cs="Times New Roman"/>
          <w:b/>
          <w:bCs/>
          <w:lang w:eastAsia="es-SV"/>
        </w:rPr>
      </w:pPr>
      <w:r w:rsidRPr="009F344C">
        <w:rPr>
          <w:rFonts w:ascii="Times New Roman" w:eastAsia="Times New Roman" w:hAnsi="Times New Roman" w:cs="Times New Roman"/>
          <w:b/>
          <w:bCs/>
          <w:lang w:eastAsia="es-SV"/>
        </w:rPr>
        <w:t>3. La dimensión comunitaria y eclesial</w:t>
      </w:r>
    </w:p>
    <w:p w14:paraId="0DC91D3E" w14:textId="77777777" w:rsidR="009F344C" w:rsidRPr="009F344C" w:rsidRDefault="009F344C" w:rsidP="009F344C">
      <w:pPr>
        <w:spacing w:line="240" w:lineRule="auto"/>
        <w:rPr>
          <w:rFonts w:ascii="Times New Roman" w:eastAsia="Times New Roman" w:hAnsi="Times New Roman" w:cs="Times New Roman"/>
          <w:lang w:eastAsia="es-SV"/>
        </w:rPr>
      </w:pPr>
      <w:r w:rsidRPr="009F344C">
        <w:rPr>
          <w:rFonts w:ascii="Times New Roman" w:eastAsia="Times New Roman" w:hAnsi="Times New Roman" w:cs="Times New Roman"/>
          <w:lang w:eastAsia="es-SV"/>
        </w:rPr>
        <w:t>La teología eclesial en los Hechos resalta la construcción de un modelo idealizado de convivencia que sirve como horizonte e inspiración permanente para todos los creyentes. Lucas detalla minuciosamente que la identidad de la comunidad se sostiene sobre la comunión fraterna (</w:t>
      </w:r>
      <w:r w:rsidRPr="009F344C">
        <w:rPr>
          <w:rFonts w:ascii="Times New Roman" w:eastAsia="Times New Roman" w:hAnsi="Times New Roman" w:cs="Times New Roman"/>
          <w:i/>
          <w:iCs/>
          <w:lang w:eastAsia="es-SV"/>
        </w:rPr>
        <w:t>koinonía</w:t>
      </w:r>
      <w:r w:rsidRPr="009F344C">
        <w:rPr>
          <w:rFonts w:ascii="Times New Roman" w:eastAsia="Times New Roman" w:hAnsi="Times New Roman" w:cs="Times New Roman"/>
          <w:lang w:eastAsia="es-SV"/>
        </w:rPr>
        <w:t>), la perseverancia en la doctrina apostólica, la fracción del pan y la oración unánime. La vivencia de la fe se traduce de forma práctica en un fuerte compromiso de justicia social y solidaridad económica, donde compartir los bienes materiales y velar por los miembros más desprotegidos —como las viudas— se convierte en el reflejo visible del amor y la presencia de Dios en el mundo.</w:t>
      </w:r>
    </w:p>
    <w:p w14:paraId="77738340" w14:textId="77777777" w:rsidR="009F344C" w:rsidRPr="009F344C" w:rsidRDefault="009F344C" w:rsidP="009F344C">
      <w:pPr>
        <w:spacing w:line="240" w:lineRule="auto"/>
        <w:rPr>
          <w:rFonts w:ascii="Times New Roman" w:eastAsia="Times New Roman" w:hAnsi="Times New Roman" w:cs="Times New Roman"/>
          <w:b/>
          <w:bCs/>
          <w:lang w:eastAsia="es-SV"/>
        </w:rPr>
      </w:pPr>
      <w:r w:rsidRPr="009F344C">
        <w:rPr>
          <w:rFonts w:ascii="Times New Roman" w:eastAsia="Times New Roman" w:hAnsi="Times New Roman" w:cs="Times New Roman"/>
          <w:b/>
          <w:bCs/>
          <w:lang w:eastAsia="es-SV"/>
        </w:rPr>
        <w:t>4. La apertura universal de la misión (Salvación para todos)</w:t>
      </w:r>
    </w:p>
    <w:p w14:paraId="257F2324" w14:textId="77777777" w:rsidR="009F344C" w:rsidRPr="009F344C" w:rsidRDefault="009F344C" w:rsidP="009F344C">
      <w:pPr>
        <w:spacing w:line="240" w:lineRule="auto"/>
        <w:rPr>
          <w:rFonts w:ascii="Times New Roman" w:eastAsia="Times New Roman" w:hAnsi="Times New Roman" w:cs="Times New Roman"/>
          <w:lang w:eastAsia="es-SV"/>
        </w:rPr>
      </w:pPr>
      <w:r w:rsidRPr="009F344C">
        <w:rPr>
          <w:rFonts w:ascii="Times New Roman" w:eastAsia="Times New Roman" w:hAnsi="Times New Roman" w:cs="Times New Roman"/>
          <w:lang w:eastAsia="es-SV"/>
        </w:rPr>
        <w:t xml:space="preserve">Una de las mayores transiciones teológicas del libro es demostrar que el regalo de la salvación divina es universal y está plenamente disponible para toda la humanidad, sin distinción de raza, cultura o estatus legal. A través de relatos como el bautismo del eunuco etíope, la conversión del centurión Cornelio y los intensos debates del </w:t>
      </w:r>
      <w:r w:rsidRPr="009F344C">
        <w:rPr>
          <w:rFonts w:ascii="Times New Roman" w:eastAsia="Times New Roman" w:hAnsi="Times New Roman" w:cs="Times New Roman"/>
          <w:b/>
          <w:bCs/>
          <w:lang w:eastAsia="es-SV"/>
        </w:rPr>
        <w:t>Concilio de Jerusalén</w:t>
      </w:r>
      <w:r w:rsidRPr="009F344C">
        <w:rPr>
          <w:rFonts w:ascii="Times New Roman" w:eastAsia="Times New Roman" w:hAnsi="Times New Roman" w:cs="Times New Roman"/>
          <w:lang w:eastAsia="es-SV"/>
        </w:rPr>
        <w:t xml:space="preserve"> en Hechos 15, Lucas aclara que la justificación llega mediante la gracia y la fe en Jesucristo. Esto libera a los convertidos de origen pagano (gentiles) de la necesidad de asumir las cargas de la circuncisión o las normas de pureza ritual del judaísmo clásico para formar parte de la familia de Dios.</w:t>
      </w:r>
    </w:p>
    <w:p w14:paraId="1973DD58" w14:textId="77777777" w:rsidR="009F344C" w:rsidRPr="009F344C" w:rsidRDefault="009F344C" w:rsidP="009F344C">
      <w:pPr>
        <w:spacing w:line="240" w:lineRule="auto"/>
        <w:rPr>
          <w:rFonts w:ascii="Times New Roman" w:eastAsia="Times New Roman" w:hAnsi="Times New Roman" w:cs="Times New Roman"/>
          <w:b/>
          <w:bCs/>
          <w:lang w:eastAsia="es-SV"/>
        </w:rPr>
      </w:pPr>
      <w:r w:rsidRPr="009F344C">
        <w:rPr>
          <w:rFonts w:ascii="Times New Roman" w:eastAsia="Times New Roman" w:hAnsi="Times New Roman" w:cs="Times New Roman"/>
          <w:b/>
          <w:bCs/>
          <w:lang w:eastAsia="es-SV"/>
        </w:rPr>
        <w:t>5. La apología ante el Imperio Romano</w:t>
      </w:r>
    </w:p>
    <w:p w14:paraId="0CFF3477" w14:textId="77777777" w:rsidR="009F344C" w:rsidRPr="009F344C" w:rsidRDefault="009F344C" w:rsidP="009F344C">
      <w:pPr>
        <w:spacing w:line="240" w:lineRule="auto"/>
        <w:rPr>
          <w:rFonts w:ascii="Times New Roman" w:eastAsia="Times New Roman" w:hAnsi="Times New Roman" w:cs="Times New Roman"/>
          <w:lang w:eastAsia="es-SV"/>
        </w:rPr>
      </w:pPr>
      <w:r w:rsidRPr="009F344C">
        <w:rPr>
          <w:rFonts w:ascii="Times New Roman" w:eastAsia="Times New Roman" w:hAnsi="Times New Roman" w:cs="Times New Roman"/>
          <w:lang w:eastAsia="es-SV"/>
        </w:rPr>
        <w:lastRenderedPageBreak/>
        <w:t xml:space="preserve">A nivel político-teológico, el texto funciona como una defensa formal orientada a convencer a las autoridades y ciudadanos del Imperio Romano de que el movimiento cristiano no es una secta subversiva, violenta ni peligrosa para la paz del Estado. Lucas se asegura de narrar cómo los magistrados, gobernadores y oficiales romanos que interrogan a Pablo —como </w:t>
      </w:r>
      <w:proofErr w:type="spellStart"/>
      <w:r w:rsidRPr="009F344C">
        <w:rPr>
          <w:rFonts w:ascii="Times New Roman" w:eastAsia="Times New Roman" w:hAnsi="Times New Roman" w:cs="Times New Roman"/>
          <w:lang w:eastAsia="es-SV"/>
        </w:rPr>
        <w:t>Galión</w:t>
      </w:r>
      <w:proofErr w:type="spellEnd"/>
      <w:r w:rsidRPr="009F344C">
        <w:rPr>
          <w:rFonts w:ascii="Times New Roman" w:eastAsia="Times New Roman" w:hAnsi="Times New Roman" w:cs="Times New Roman"/>
          <w:lang w:eastAsia="es-SV"/>
        </w:rPr>
        <w:t xml:space="preserve">, Félix o Festo— reconocen constantemente su inocencia legal y civil. El libro concluye estratégicamente con Pablo en Roma predicando el Reino de Dios bajo arresto </w:t>
      </w:r>
      <w:proofErr w:type="gramStart"/>
      <w:r w:rsidRPr="009F344C">
        <w:rPr>
          <w:rFonts w:ascii="Times New Roman" w:eastAsia="Times New Roman" w:hAnsi="Times New Roman" w:cs="Times New Roman"/>
          <w:lang w:eastAsia="es-SV"/>
        </w:rPr>
        <w:t>domiciliario</w:t>
      </w:r>
      <w:proofErr w:type="gramEnd"/>
      <w:r w:rsidRPr="009F344C">
        <w:rPr>
          <w:rFonts w:ascii="Times New Roman" w:eastAsia="Times New Roman" w:hAnsi="Times New Roman" w:cs="Times New Roman"/>
          <w:lang w:eastAsia="es-SV"/>
        </w:rPr>
        <w:t xml:space="preserve"> pero "con total libertad y sin impedimento alguno", demostrando que el Evangelio avanza pacíficamente dentro de la legalidad de las estructuras imperiales.</w:t>
      </w:r>
    </w:p>
    <w:p w14:paraId="43A0C220" w14:textId="77777777" w:rsidR="009F344C" w:rsidRPr="009F344C" w:rsidRDefault="009F344C" w:rsidP="009F344C">
      <w:pPr>
        <w:rPr>
          <w:rFonts w:ascii="Times New Roman" w:hAnsi="Times New Roman" w:cs="Times New Roman"/>
        </w:rPr>
      </w:pPr>
    </w:p>
    <w:p w14:paraId="3C832344" w14:textId="01C152C7" w:rsidR="00EE64ED" w:rsidRDefault="009F344C" w:rsidP="009F344C">
      <w:pPr>
        <w:rPr>
          <w:rFonts w:ascii="Times New Roman" w:hAnsi="Times New Roman" w:cs="Times New Roman"/>
        </w:rPr>
      </w:pPr>
      <w:r w:rsidRPr="009F344C">
        <w:rPr>
          <w:rFonts w:ascii="Times New Roman" w:hAnsi="Times New Roman" w:cs="Times New Roman"/>
        </w:rPr>
        <w:t>2. Realiza una línea del tiempo de las misiones de Pablo. ¿Es posible acompañar la parte del trabajo final con una imagen de las del drive?</w:t>
      </w:r>
    </w:p>
    <w:p w14:paraId="70915EAD" w14:textId="1DCF7AA6" w:rsidR="009F344C" w:rsidRPr="009F344C" w:rsidRDefault="00541CA0" w:rsidP="009F344C">
      <w:pPr>
        <w:rPr>
          <w:rFonts w:ascii="Times New Roman" w:hAnsi="Times New Roman" w:cs="Times New Roman"/>
        </w:rPr>
      </w:pPr>
      <w:r>
        <w:rPr>
          <w:rFonts w:ascii="Times New Roman" w:hAnsi="Times New Roman" w:cs="Times New Roman"/>
          <w:noProof/>
        </w:rPr>
        <w:drawing>
          <wp:inline distT="0" distB="0" distL="0" distR="0" wp14:anchorId="3BA0E4F5" wp14:editId="5BFFC24D">
            <wp:extent cx="6458951" cy="3632886"/>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70494" cy="3639378"/>
                    </a:xfrm>
                    <a:prstGeom prst="rect">
                      <a:avLst/>
                    </a:prstGeom>
                  </pic:spPr>
                </pic:pic>
              </a:graphicData>
            </a:graphic>
          </wp:inline>
        </w:drawing>
      </w:r>
    </w:p>
    <w:sectPr w:rsidR="009F344C" w:rsidRPr="009F344C" w:rsidSect="00D83744">
      <w:pgSz w:w="12240" w:h="15840"/>
      <w:pgMar w:top="1418" w:right="1701" w:bottom="1418" w:left="1701" w:header="709" w:footer="709" w:gutter="284"/>
      <w:cols w:space="708"/>
      <w:titlePg/>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08"/>
  <w:hyphenationZone w:val="425"/>
  <w:bookFoldPrinting/>
  <w:drawingGridHorizontalSpacing w:val="105"/>
  <w:drawingGridVerticalSpacing w:val="14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44C"/>
    <w:rsid w:val="00541CA0"/>
    <w:rsid w:val="009F344C"/>
    <w:rsid w:val="00AA54B3"/>
    <w:rsid w:val="00D83744"/>
    <w:rsid w:val="00EE64ED"/>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3AC68"/>
  <w15:chartTrackingRefBased/>
  <w15:docId w15:val="{FED24870-C278-4DD8-A6C5-FF75FEC7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15011">
      <w:bodyDiv w:val="1"/>
      <w:marLeft w:val="0"/>
      <w:marRight w:val="0"/>
      <w:marTop w:val="0"/>
      <w:marBottom w:val="0"/>
      <w:divBdr>
        <w:top w:val="none" w:sz="0" w:space="0" w:color="auto"/>
        <w:left w:val="none" w:sz="0" w:space="0" w:color="auto"/>
        <w:bottom w:val="none" w:sz="0" w:space="0" w:color="auto"/>
        <w:right w:val="none" w:sz="0" w:space="0" w:color="auto"/>
      </w:divBdr>
      <w:divsChild>
        <w:div w:id="651063427">
          <w:marLeft w:val="0"/>
          <w:marRight w:val="0"/>
          <w:marTop w:val="360"/>
          <w:marBottom w:val="180"/>
          <w:divBdr>
            <w:top w:val="none" w:sz="0" w:space="0" w:color="auto"/>
            <w:left w:val="none" w:sz="0" w:space="0" w:color="auto"/>
            <w:bottom w:val="none" w:sz="0" w:space="0" w:color="auto"/>
            <w:right w:val="none" w:sz="0" w:space="0" w:color="auto"/>
          </w:divBdr>
        </w:div>
        <w:div w:id="2061317725">
          <w:marLeft w:val="0"/>
          <w:marRight w:val="0"/>
          <w:marTop w:val="180"/>
          <w:marBottom w:val="240"/>
          <w:divBdr>
            <w:top w:val="none" w:sz="0" w:space="0" w:color="auto"/>
            <w:left w:val="none" w:sz="0" w:space="0" w:color="auto"/>
            <w:bottom w:val="none" w:sz="0" w:space="0" w:color="auto"/>
            <w:right w:val="none" w:sz="0" w:space="0" w:color="auto"/>
          </w:divBdr>
        </w:div>
        <w:div w:id="333534545">
          <w:marLeft w:val="0"/>
          <w:marRight w:val="0"/>
          <w:marTop w:val="360"/>
          <w:marBottom w:val="180"/>
          <w:divBdr>
            <w:top w:val="none" w:sz="0" w:space="0" w:color="auto"/>
            <w:left w:val="none" w:sz="0" w:space="0" w:color="auto"/>
            <w:bottom w:val="none" w:sz="0" w:space="0" w:color="auto"/>
            <w:right w:val="none" w:sz="0" w:space="0" w:color="auto"/>
          </w:divBdr>
        </w:div>
        <w:div w:id="424618569">
          <w:marLeft w:val="0"/>
          <w:marRight w:val="0"/>
          <w:marTop w:val="180"/>
          <w:marBottom w:val="240"/>
          <w:divBdr>
            <w:top w:val="none" w:sz="0" w:space="0" w:color="auto"/>
            <w:left w:val="none" w:sz="0" w:space="0" w:color="auto"/>
            <w:bottom w:val="none" w:sz="0" w:space="0" w:color="auto"/>
            <w:right w:val="none" w:sz="0" w:space="0" w:color="auto"/>
          </w:divBdr>
        </w:div>
        <w:div w:id="1050881075">
          <w:marLeft w:val="0"/>
          <w:marRight w:val="0"/>
          <w:marTop w:val="360"/>
          <w:marBottom w:val="180"/>
          <w:divBdr>
            <w:top w:val="none" w:sz="0" w:space="0" w:color="auto"/>
            <w:left w:val="none" w:sz="0" w:space="0" w:color="auto"/>
            <w:bottom w:val="none" w:sz="0" w:space="0" w:color="auto"/>
            <w:right w:val="none" w:sz="0" w:space="0" w:color="auto"/>
          </w:divBdr>
        </w:div>
        <w:div w:id="836195547">
          <w:marLeft w:val="0"/>
          <w:marRight w:val="0"/>
          <w:marTop w:val="180"/>
          <w:marBottom w:val="240"/>
          <w:divBdr>
            <w:top w:val="none" w:sz="0" w:space="0" w:color="auto"/>
            <w:left w:val="none" w:sz="0" w:space="0" w:color="auto"/>
            <w:bottom w:val="none" w:sz="0" w:space="0" w:color="auto"/>
            <w:right w:val="none" w:sz="0" w:space="0" w:color="auto"/>
          </w:divBdr>
        </w:div>
        <w:div w:id="1823698335">
          <w:marLeft w:val="0"/>
          <w:marRight w:val="0"/>
          <w:marTop w:val="360"/>
          <w:marBottom w:val="180"/>
          <w:divBdr>
            <w:top w:val="none" w:sz="0" w:space="0" w:color="auto"/>
            <w:left w:val="none" w:sz="0" w:space="0" w:color="auto"/>
            <w:bottom w:val="none" w:sz="0" w:space="0" w:color="auto"/>
            <w:right w:val="none" w:sz="0" w:space="0" w:color="auto"/>
          </w:divBdr>
        </w:div>
        <w:div w:id="642857415">
          <w:marLeft w:val="0"/>
          <w:marRight w:val="0"/>
          <w:marTop w:val="180"/>
          <w:marBottom w:val="240"/>
          <w:divBdr>
            <w:top w:val="none" w:sz="0" w:space="0" w:color="auto"/>
            <w:left w:val="none" w:sz="0" w:space="0" w:color="auto"/>
            <w:bottom w:val="none" w:sz="0" w:space="0" w:color="auto"/>
            <w:right w:val="none" w:sz="0" w:space="0" w:color="auto"/>
          </w:divBdr>
        </w:div>
        <w:div w:id="754790792">
          <w:marLeft w:val="0"/>
          <w:marRight w:val="0"/>
          <w:marTop w:val="360"/>
          <w:marBottom w:val="180"/>
          <w:divBdr>
            <w:top w:val="none" w:sz="0" w:space="0" w:color="auto"/>
            <w:left w:val="none" w:sz="0" w:space="0" w:color="auto"/>
            <w:bottom w:val="none" w:sz="0" w:space="0" w:color="auto"/>
            <w:right w:val="none" w:sz="0" w:space="0" w:color="auto"/>
          </w:divBdr>
        </w:div>
        <w:div w:id="137095903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595</Words>
  <Characters>3275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Soriano</dc:creator>
  <cp:keywords/>
  <dc:description/>
  <cp:lastModifiedBy>Jorge Soriano</cp:lastModifiedBy>
  <cp:revision>2</cp:revision>
  <dcterms:created xsi:type="dcterms:W3CDTF">2026-08-26T16:40:00Z</dcterms:created>
  <dcterms:modified xsi:type="dcterms:W3CDTF">2026-09-10T17:06:00Z</dcterms:modified>
</cp:coreProperties>
</file>